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w:pPr>
        <w:pStyle w:val="BodyText"/>
        <w:spacing w:before="39"/>
        <w:jc w:val="center"/>
      </w:pPr>
      <w:r>
        <w:rPr/>
        <w:t>PENNSYLVANIA</w:t>
      </w:r>
      <w:r>
        <w:rPr>
          <w:spacing w:val="-9"/>
        </w:rPr>
        <w:t> </w:t>
      </w:r>
      <w:r>
        <w:rPr/>
        <w:t>AMENDATORY</w:t>
      </w:r>
      <w:r>
        <w:rPr>
          <w:spacing w:val="-7"/>
        </w:rPr>
        <w:t> </w:t>
      </w:r>
      <w:r>
        <w:rPr>
          <w:spacing w:val="-2"/>
        </w:rPr>
        <w:t>ENDORSEMENT</w:t>
      </w:r>
    </w:p>
    <w:p>
      <w:pPr>
        <w:pStyle w:val="BodyText"/>
      </w:pPr>
    </w:p>
    <w:p>
      <w:pPr>
        <w:pStyle w:val="BodyText"/>
        <w:tabs>
          <w:tab w:pos="3239" w:val="left" w:leader="none"/>
          <w:tab w:pos="5399" w:val="left" w:leader="none"/>
        </w:tabs>
        <w:spacing w:line="477" w:lineRule="auto"/>
        <w:ind w:left="360" w:right="3343"/>
      </w:pPr>
      <w:r>
        <w:rPr/>
        <w:t>This endorsement, effective</w:t>
        <w:tab/>
        <w:tab/>
        <w:t>forms</w:t>
      </w:r>
      <w:r>
        <w:rPr>
          <w:spacing w:val="-12"/>
        </w:rPr>
        <w:t> </w:t>
      </w:r>
      <w:r>
        <w:rPr/>
        <w:t>a</w:t>
      </w:r>
      <w:r>
        <w:rPr>
          <w:spacing w:val="-12"/>
        </w:rPr>
        <w:t> </w:t>
      </w:r>
      <w:r>
        <w:rPr/>
        <w:t>part</w:t>
      </w:r>
      <w:r>
        <w:rPr>
          <w:spacing w:val="-11"/>
        </w:rPr>
        <w:t> </w:t>
      </w:r>
      <w:r>
        <w:rPr/>
        <w:t>of Policy no.</w:t>
        <w:tab/>
        <w:t>issued to</w:t>
      </w:r>
    </w:p>
    <w:p>
      <w:pPr>
        <w:pStyle w:val="BodyText"/>
        <w:spacing w:before="4"/>
        <w:ind w:left="359"/>
      </w:pPr>
      <w:r>
        <w:rPr>
          <w:spacing w:val="-5"/>
        </w:rPr>
        <w:t>By:</w:t>
      </w:r>
    </w:p>
    <w:p>
      <w:pPr>
        <w:pStyle w:val="BodyText"/>
      </w:pPr>
    </w:p>
    <w:p>
      <w:pPr>
        <w:pStyle w:val="BodyText"/>
        <w:ind w:left="359" w:right="352"/>
        <w:jc w:val="both"/>
      </w:pPr>
      <w:r>
        <w:rPr/>
        <w:t>Wherever</w:t>
      </w:r>
      <w:r>
        <w:rPr>
          <w:spacing w:val="-2"/>
        </w:rPr>
        <w:t> </w:t>
      </w:r>
      <w:r>
        <w:rPr/>
        <w:t>used</w:t>
      </w:r>
      <w:r>
        <w:rPr>
          <w:spacing w:val="-3"/>
        </w:rPr>
        <w:t> </w:t>
      </w:r>
      <w:r>
        <w:rPr/>
        <w:t>in</w:t>
      </w:r>
      <w:r>
        <w:rPr>
          <w:spacing w:val="-3"/>
        </w:rPr>
        <w:t> </w:t>
      </w:r>
      <w:r>
        <w:rPr/>
        <w:t>this</w:t>
      </w:r>
      <w:r>
        <w:rPr>
          <w:spacing w:val="-2"/>
        </w:rPr>
        <w:t> </w:t>
      </w:r>
      <w:r>
        <w:rPr/>
        <w:t>endorsement:</w:t>
      </w:r>
      <w:r>
        <w:rPr>
          <w:spacing w:val="-3"/>
        </w:rPr>
        <w:t> </w:t>
      </w:r>
      <w:r>
        <w:rPr/>
        <w:t>1)</w:t>
      </w:r>
      <w:r>
        <w:rPr>
          <w:spacing w:val="-2"/>
        </w:rPr>
        <w:t> </w:t>
      </w:r>
      <w:r>
        <w:rPr/>
        <w:t>“Insurer”</w:t>
      </w:r>
      <w:r>
        <w:rPr>
          <w:spacing w:val="-3"/>
        </w:rPr>
        <w:t> </w:t>
      </w:r>
      <w:r>
        <w:rPr/>
        <w:t>means</w:t>
      </w:r>
      <w:r>
        <w:rPr>
          <w:spacing w:val="-2"/>
        </w:rPr>
        <w:t> </w:t>
      </w:r>
      <w:r>
        <w:rPr/>
        <w:t>the</w:t>
      </w:r>
      <w:r>
        <w:rPr>
          <w:spacing w:val="-1"/>
        </w:rPr>
        <w:t> </w:t>
      </w:r>
      <w:r>
        <w:rPr/>
        <w:t>insurance</w:t>
      </w:r>
      <w:r>
        <w:rPr>
          <w:spacing w:val="-1"/>
        </w:rPr>
        <w:t> </w:t>
      </w:r>
      <w:r>
        <w:rPr/>
        <w:t>company</w:t>
      </w:r>
      <w:r>
        <w:rPr>
          <w:spacing w:val="-3"/>
        </w:rPr>
        <w:t> </w:t>
      </w:r>
      <w:r>
        <w:rPr/>
        <w:t>which</w:t>
      </w:r>
      <w:r>
        <w:rPr>
          <w:spacing w:val="-3"/>
        </w:rPr>
        <w:t> </w:t>
      </w:r>
      <w:r>
        <w:rPr/>
        <w:t>issued</w:t>
      </w:r>
      <w:r>
        <w:rPr>
          <w:spacing w:val="-3"/>
        </w:rPr>
        <w:t> </w:t>
      </w:r>
      <w:r>
        <w:rPr/>
        <w:t>this</w:t>
      </w:r>
      <w:r>
        <w:rPr>
          <w:spacing w:val="-2"/>
        </w:rPr>
        <w:t> </w:t>
      </w:r>
      <w:r>
        <w:rPr/>
        <w:t>policy; and 2) “named Insured” and “Insured” mean the Named Corporation, Named Entity, Named Organization, Named Sponsor, Named Insured, or Insured stated in the declarations page.</w:t>
      </w:r>
    </w:p>
    <w:p>
      <w:pPr>
        <w:pStyle w:val="BodyText"/>
        <w:spacing w:before="1"/>
      </w:pPr>
    </w:p>
    <w:p>
      <w:pPr>
        <w:pStyle w:val="BodyText"/>
        <w:spacing w:line="480" w:lineRule="auto"/>
        <w:ind w:left="360" w:right="3343" w:hanging="1"/>
      </w:pPr>
      <w:r>
        <w:rPr/>
        <w:t>The</w:t>
      </w:r>
      <w:r>
        <w:rPr>
          <w:spacing w:val="-2"/>
        </w:rPr>
        <w:t> </w:t>
      </w:r>
      <w:r>
        <w:rPr/>
        <w:t>following</w:t>
      </w:r>
      <w:r>
        <w:rPr>
          <w:spacing w:val="-4"/>
        </w:rPr>
        <w:t> </w:t>
      </w:r>
      <w:r>
        <w:rPr/>
        <w:t>is</w:t>
      </w:r>
      <w:r>
        <w:rPr>
          <w:spacing w:val="-3"/>
        </w:rPr>
        <w:t> </w:t>
      </w:r>
      <w:r>
        <w:rPr/>
        <w:t>added</w:t>
      </w:r>
      <w:r>
        <w:rPr>
          <w:spacing w:val="-4"/>
        </w:rPr>
        <w:t> </w:t>
      </w:r>
      <w:r>
        <w:rPr/>
        <w:t>and</w:t>
      </w:r>
      <w:r>
        <w:rPr>
          <w:spacing w:val="-6"/>
        </w:rPr>
        <w:t> </w:t>
      </w:r>
      <w:r>
        <w:rPr/>
        <w:t>supercedes</w:t>
      </w:r>
      <w:r>
        <w:rPr>
          <w:spacing w:val="-5"/>
        </w:rPr>
        <w:t> </w:t>
      </w:r>
      <w:r>
        <w:rPr/>
        <w:t>any</w:t>
      </w:r>
      <w:r>
        <w:rPr>
          <w:spacing w:val="-2"/>
        </w:rPr>
        <w:t> </w:t>
      </w:r>
      <w:r>
        <w:rPr/>
        <w:t>provision</w:t>
      </w:r>
      <w:r>
        <w:rPr>
          <w:spacing w:val="-4"/>
        </w:rPr>
        <w:t> </w:t>
      </w:r>
      <w:r>
        <w:rPr/>
        <w:t>to</w:t>
      </w:r>
      <w:r>
        <w:rPr>
          <w:spacing w:val="-2"/>
        </w:rPr>
        <w:t> </w:t>
      </w:r>
      <w:r>
        <w:rPr/>
        <w:t>the</w:t>
      </w:r>
      <w:r>
        <w:rPr>
          <w:spacing w:val="-5"/>
        </w:rPr>
        <w:t> </w:t>
      </w:r>
      <w:r>
        <w:rPr/>
        <w:t>contrary: </w:t>
      </w:r>
      <w:r>
        <w:rPr>
          <w:spacing w:val="-2"/>
          <w:u w:val="single"/>
        </w:rPr>
        <w:t>Cancellation/Nonrenewal</w:t>
      </w:r>
    </w:p>
    <w:p>
      <w:pPr>
        <w:pStyle w:val="BodyText"/>
        <w:spacing w:line="268" w:lineRule="exact"/>
        <w:ind w:left="360"/>
      </w:pPr>
      <w:r>
        <w:rPr/>
        <w:t>Canceling</w:t>
      </w:r>
      <w:r>
        <w:rPr>
          <w:spacing w:val="-5"/>
        </w:rPr>
        <w:t> </w:t>
      </w:r>
      <w:r>
        <w:rPr/>
        <w:t>a</w:t>
      </w:r>
      <w:r>
        <w:rPr>
          <w:spacing w:val="-3"/>
        </w:rPr>
        <w:t> </w:t>
      </w:r>
      <w:r>
        <w:rPr/>
        <w:t>policy</w:t>
      </w:r>
      <w:r>
        <w:rPr>
          <w:spacing w:val="-5"/>
        </w:rPr>
        <w:t> </w:t>
      </w:r>
      <w:r>
        <w:rPr/>
        <w:t>midterm</w:t>
      </w:r>
      <w:r>
        <w:rPr>
          <w:spacing w:val="-4"/>
        </w:rPr>
        <w:t> </w:t>
      </w:r>
      <w:r>
        <w:rPr/>
        <w:t>is</w:t>
      </w:r>
      <w:r>
        <w:rPr>
          <w:spacing w:val="-4"/>
        </w:rPr>
        <w:t> </w:t>
      </w:r>
      <w:r>
        <w:rPr/>
        <w:t>prohibited</w:t>
      </w:r>
      <w:r>
        <w:rPr>
          <w:spacing w:val="-6"/>
        </w:rPr>
        <w:t> </w:t>
      </w:r>
      <w:r>
        <w:rPr/>
        <w:t>except</w:t>
      </w:r>
      <w:r>
        <w:rPr>
          <w:spacing w:val="-2"/>
        </w:rPr>
        <w:t> </w:t>
      </w:r>
      <w:r>
        <w:rPr>
          <w:spacing w:val="-5"/>
        </w:rPr>
        <w:t>if:</w:t>
      </w:r>
    </w:p>
    <w:p>
      <w:pPr>
        <w:pStyle w:val="BodyText"/>
      </w:pPr>
    </w:p>
    <w:p>
      <w:pPr>
        <w:pStyle w:val="ListParagraph"/>
        <w:numPr>
          <w:ilvl w:val="0"/>
          <w:numId w:val="1"/>
        </w:numPr>
        <w:tabs>
          <w:tab w:pos="1799" w:val="left" w:leader="none"/>
        </w:tabs>
        <w:spacing w:line="240" w:lineRule="auto" w:before="0" w:after="0"/>
        <w:ind w:left="1799" w:right="0" w:hanging="720"/>
        <w:jc w:val="left"/>
        <w:rPr>
          <w:sz w:val="22"/>
        </w:rPr>
      </w:pPr>
      <w:r>
        <w:rPr>
          <w:sz w:val="22"/>
        </w:rPr>
        <w:t>A</w:t>
      </w:r>
      <w:r>
        <w:rPr>
          <w:spacing w:val="-4"/>
          <w:sz w:val="22"/>
        </w:rPr>
        <w:t> </w:t>
      </w:r>
      <w:r>
        <w:rPr>
          <w:sz w:val="22"/>
        </w:rPr>
        <w:t>condition</w:t>
      </w:r>
      <w:r>
        <w:rPr>
          <w:spacing w:val="-7"/>
          <w:sz w:val="22"/>
        </w:rPr>
        <w:t> </w:t>
      </w:r>
      <w:r>
        <w:rPr>
          <w:sz w:val="22"/>
        </w:rPr>
        <w:t>material</w:t>
      </w:r>
      <w:r>
        <w:rPr>
          <w:spacing w:val="-7"/>
          <w:sz w:val="22"/>
        </w:rPr>
        <w:t> </w:t>
      </w:r>
      <w:r>
        <w:rPr>
          <w:sz w:val="22"/>
        </w:rPr>
        <w:t>to</w:t>
      </w:r>
      <w:r>
        <w:rPr>
          <w:spacing w:val="-3"/>
          <w:sz w:val="22"/>
        </w:rPr>
        <w:t> </w:t>
      </w:r>
      <w:r>
        <w:rPr>
          <w:sz w:val="22"/>
        </w:rPr>
        <w:t>insurability</w:t>
      </w:r>
      <w:r>
        <w:rPr>
          <w:spacing w:val="-3"/>
          <w:sz w:val="22"/>
        </w:rPr>
        <w:t> </w:t>
      </w:r>
      <w:r>
        <w:rPr>
          <w:sz w:val="22"/>
        </w:rPr>
        <w:t>has</w:t>
      </w:r>
      <w:r>
        <w:rPr>
          <w:spacing w:val="-4"/>
          <w:sz w:val="22"/>
        </w:rPr>
        <w:t> </w:t>
      </w:r>
      <w:r>
        <w:rPr>
          <w:sz w:val="22"/>
        </w:rPr>
        <w:t>changed</w:t>
      </w:r>
      <w:r>
        <w:rPr>
          <w:spacing w:val="-6"/>
          <w:sz w:val="22"/>
        </w:rPr>
        <w:t> </w:t>
      </w:r>
      <w:r>
        <w:rPr>
          <w:spacing w:val="-2"/>
          <w:sz w:val="22"/>
        </w:rPr>
        <w:t>substantially;</w:t>
      </w:r>
    </w:p>
    <w:p>
      <w:pPr>
        <w:pStyle w:val="BodyText"/>
      </w:pPr>
    </w:p>
    <w:p>
      <w:pPr>
        <w:pStyle w:val="ListParagraph"/>
        <w:numPr>
          <w:ilvl w:val="0"/>
          <w:numId w:val="1"/>
        </w:numPr>
        <w:tabs>
          <w:tab w:pos="1799" w:val="left" w:leader="none"/>
        </w:tabs>
        <w:spacing w:line="240" w:lineRule="auto" w:before="0" w:after="0"/>
        <w:ind w:left="1799" w:right="0" w:hanging="720"/>
        <w:jc w:val="left"/>
        <w:rPr>
          <w:sz w:val="22"/>
        </w:rPr>
      </w:pPr>
      <w:r>
        <w:rPr>
          <w:sz w:val="22"/>
        </w:rPr>
        <w:t>Loss</w:t>
      </w:r>
      <w:r>
        <w:rPr>
          <w:spacing w:val="-8"/>
          <w:sz w:val="22"/>
        </w:rPr>
        <w:t> </w:t>
      </w:r>
      <w:r>
        <w:rPr>
          <w:sz w:val="22"/>
        </w:rPr>
        <w:t>of</w:t>
      </w:r>
      <w:r>
        <w:rPr>
          <w:spacing w:val="-5"/>
          <w:sz w:val="22"/>
        </w:rPr>
        <w:t> </w:t>
      </w:r>
      <w:r>
        <w:rPr>
          <w:sz w:val="22"/>
        </w:rPr>
        <w:t>reinsurance</w:t>
      </w:r>
      <w:r>
        <w:rPr>
          <w:spacing w:val="-5"/>
          <w:sz w:val="22"/>
        </w:rPr>
        <w:t> </w:t>
      </w:r>
      <w:r>
        <w:rPr>
          <w:sz w:val="22"/>
        </w:rPr>
        <w:t>or</w:t>
      </w:r>
      <w:r>
        <w:rPr>
          <w:spacing w:val="-5"/>
          <w:sz w:val="22"/>
        </w:rPr>
        <w:t> </w:t>
      </w:r>
      <w:r>
        <w:rPr>
          <w:sz w:val="22"/>
        </w:rPr>
        <w:t>a</w:t>
      </w:r>
      <w:r>
        <w:rPr>
          <w:spacing w:val="-3"/>
          <w:sz w:val="22"/>
        </w:rPr>
        <w:t> </w:t>
      </w:r>
      <w:r>
        <w:rPr>
          <w:sz w:val="22"/>
        </w:rPr>
        <w:t>substantial</w:t>
      </w:r>
      <w:r>
        <w:rPr>
          <w:spacing w:val="-3"/>
          <w:sz w:val="22"/>
        </w:rPr>
        <w:t> </w:t>
      </w:r>
      <w:r>
        <w:rPr>
          <w:sz w:val="22"/>
        </w:rPr>
        <w:t>decrease</w:t>
      </w:r>
      <w:r>
        <w:rPr>
          <w:spacing w:val="-5"/>
          <w:sz w:val="22"/>
        </w:rPr>
        <w:t> </w:t>
      </w:r>
      <w:r>
        <w:rPr>
          <w:sz w:val="22"/>
        </w:rPr>
        <w:t>in</w:t>
      </w:r>
      <w:r>
        <w:rPr>
          <w:spacing w:val="-4"/>
          <w:sz w:val="22"/>
        </w:rPr>
        <w:t> </w:t>
      </w:r>
      <w:r>
        <w:rPr>
          <w:sz w:val="22"/>
        </w:rPr>
        <w:t>reinsurance</w:t>
      </w:r>
      <w:r>
        <w:rPr>
          <w:spacing w:val="-2"/>
          <w:sz w:val="22"/>
        </w:rPr>
        <w:t> </w:t>
      </w:r>
      <w:r>
        <w:rPr>
          <w:sz w:val="22"/>
        </w:rPr>
        <w:t>has</w:t>
      </w:r>
      <w:r>
        <w:rPr>
          <w:spacing w:val="-5"/>
          <w:sz w:val="22"/>
        </w:rPr>
        <w:t> </w:t>
      </w:r>
      <w:r>
        <w:rPr>
          <w:spacing w:val="-2"/>
          <w:sz w:val="22"/>
        </w:rPr>
        <w:t>occurred;</w:t>
      </w:r>
    </w:p>
    <w:p>
      <w:pPr>
        <w:pStyle w:val="BodyText"/>
      </w:pPr>
    </w:p>
    <w:p>
      <w:pPr>
        <w:pStyle w:val="ListParagraph"/>
        <w:numPr>
          <w:ilvl w:val="0"/>
          <w:numId w:val="1"/>
        </w:numPr>
        <w:tabs>
          <w:tab w:pos="1799" w:val="left" w:leader="none"/>
        </w:tabs>
        <w:spacing w:line="240" w:lineRule="auto" w:before="1" w:after="0"/>
        <w:ind w:left="1799" w:right="0" w:hanging="720"/>
        <w:jc w:val="left"/>
        <w:rPr>
          <w:sz w:val="22"/>
        </w:rPr>
      </w:pPr>
      <w:r>
        <w:rPr>
          <w:sz w:val="22"/>
        </w:rPr>
        <w:t>Material</w:t>
      </w:r>
      <w:r>
        <w:rPr>
          <w:spacing w:val="-8"/>
          <w:sz w:val="22"/>
        </w:rPr>
        <w:t> </w:t>
      </w:r>
      <w:r>
        <w:rPr>
          <w:sz w:val="22"/>
        </w:rPr>
        <w:t>misrepresentation</w:t>
      </w:r>
      <w:r>
        <w:rPr>
          <w:spacing w:val="-7"/>
          <w:sz w:val="22"/>
        </w:rPr>
        <w:t> </w:t>
      </w:r>
      <w:r>
        <w:rPr>
          <w:sz w:val="22"/>
        </w:rPr>
        <w:t>by</w:t>
      </w:r>
      <w:r>
        <w:rPr>
          <w:spacing w:val="-4"/>
          <w:sz w:val="22"/>
        </w:rPr>
        <w:t> </w:t>
      </w:r>
      <w:r>
        <w:rPr>
          <w:sz w:val="22"/>
        </w:rPr>
        <w:t>the</w:t>
      </w:r>
      <w:r>
        <w:rPr>
          <w:spacing w:val="-6"/>
          <w:sz w:val="22"/>
        </w:rPr>
        <w:t> </w:t>
      </w:r>
      <w:r>
        <w:rPr>
          <w:spacing w:val="-2"/>
          <w:sz w:val="22"/>
        </w:rPr>
        <w:t>Insured;</w:t>
      </w:r>
    </w:p>
    <w:p>
      <w:pPr>
        <w:pStyle w:val="ListParagraph"/>
        <w:numPr>
          <w:ilvl w:val="0"/>
          <w:numId w:val="1"/>
        </w:numPr>
        <w:tabs>
          <w:tab w:pos="1799" w:val="left" w:leader="none"/>
        </w:tabs>
        <w:spacing w:line="240" w:lineRule="auto" w:before="266" w:after="0"/>
        <w:ind w:left="1799" w:right="0" w:hanging="719"/>
        <w:jc w:val="left"/>
        <w:rPr>
          <w:sz w:val="22"/>
        </w:rPr>
      </w:pPr>
      <w:r>
        <w:rPr>
          <w:sz w:val="22"/>
        </w:rPr>
        <w:t>Policy</w:t>
      </w:r>
      <w:r>
        <w:rPr>
          <w:spacing w:val="-5"/>
          <w:sz w:val="22"/>
        </w:rPr>
        <w:t> </w:t>
      </w:r>
      <w:r>
        <w:rPr>
          <w:sz w:val="22"/>
        </w:rPr>
        <w:t>was</w:t>
      </w:r>
      <w:r>
        <w:rPr>
          <w:spacing w:val="-5"/>
          <w:sz w:val="22"/>
        </w:rPr>
        <w:t> </w:t>
      </w:r>
      <w:r>
        <w:rPr>
          <w:sz w:val="22"/>
        </w:rPr>
        <w:t>obtained</w:t>
      </w:r>
      <w:r>
        <w:rPr>
          <w:spacing w:val="-6"/>
          <w:sz w:val="22"/>
        </w:rPr>
        <w:t> </w:t>
      </w:r>
      <w:r>
        <w:rPr>
          <w:sz w:val="22"/>
        </w:rPr>
        <w:t>through</w:t>
      </w:r>
      <w:r>
        <w:rPr>
          <w:spacing w:val="-4"/>
          <w:sz w:val="22"/>
        </w:rPr>
        <w:t> </w:t>
      </w:r>
      <w:r>
        <w:rPr>
          <w:spacing w:val="-2"/>
          <w:sz w:val="22"/>
        </w:rPr>
        <w:t>fraud;</w:t>
      </w:r>
    </w:p>
    <w:p>
      <w:pPr>
        <w:pStyle w:val="BodyText"/>
      </w:pPr>
    </w:p>
    <w:p>
      <w:pPr>
        <w:pStyle w:val="ListParagraph"/>
        <w:numPr>
          <w:ilvl w:val="0"/>
          <w:numId w:val="1"/>
        </w:numPr>
        <w:tabs>
          <w:tab w:pos="1799" w:val="left" w:leader="none"/>
        </w:tabs>
        <w:spacing w:line="240" w:lineRule="auto" w:before="1" w:after="0"/>
        <w:ind w:left="1799" w:right="0" w:hanging="719"/>
        <w:jc w:val="left"/>
        <w:rPr>
          <w:sz w:val="22"/>
        </w:rPr>
      </w:pPr>
      <w:r>
        <w:rPr>
          <w:sz w:val="22"/>
        </w:rPr>
        <w:t>The</w:t>
      </w:r>
      <w:r>
        <w:rPr>
          <w:spacing w:val="-3"/>
          <w:sz w:val="22"/>
        </w:rPr>
        <w:t> </w:t>
      </w:r>
      <w:r>
        <w:rPr>
          <w:sz w:val="22"/>
        </w:rPr>
        <w:t>Insured</w:t>
      </w:r>
      <w:r>
        <w:rPr>
          <w:spacing w:val="-4"/>
          <w:sz w:val="22"/>
        </w:rPr>
        <w:t> </w:t>
      </w:r>
      <w:r>
        <w:rPr>
          <w:sz w:val="22"/>
        </w:rPr>
        <w:t>has</w:t>
      </w:r>
      <w:r>
        <w:rPr>
          <w:spacing w:val="-3"/>
          <w:sz w:val="22"/>
        </w:rPr>
        <w:t> </w:t>
      </w:r>
      <w:r>
        <w:rPr>
          <w:sz w:val="22"/>
        </w:rPr>
        <w:t>failed</w:t>
      </w:r>
      <w:r>
        <w:rPr>
          <w:spacing w:val="-4"/>
          <w:sz w:val="22"/>
        </w:rPr>
        <w:t> </w:t>
      </w:r>
      <w:r>
        <w:rPr>
          <w:sz w:val="22"/>
        </w:rPr>
        <w:t>to</w:t>
      </w:r>
      <w:r>
        <w:rPr>
          <w:spacing w:val="-3"/>
          <w:sz w:val="22"/>
        </w:rPr>
        <w:t> </w:t>
      </w:r>
      <w:r>
        <w:rPr>
          <w:sz w:val="22"/>
        </w:rPr>
        <w:t>pay</w:t>
      </w:r>
      <w:r>
        <w:rPr>
          <w:spacing w:val="-2"/>
          <w:sz w:val="22"/>
        </w:rPr>
        <w:t> </w:t>
      </w:r>
      <w:r>
        <w:rPr>
          <w:sz w:val="22"/>
        </w:rPr>
        <w:t>a</w:t>
      </w:r>
      <w:r>
        <w:rPr>
          <w:spacing w:val="-3"/>
          <w:sz w:val="22"/>
        </w:rPr>
        <w:t> </w:t>
      </w:r>
      <w:r>
        <w:rPr>
          <w:sz w:val="22"/>
        </w:rPr>
        <w:t>premium</w:t>
      </w:r>
      <w:r>
        <w:rPr>
          <w:spacing w:val="-4"/>
          <w:sz w:val="22"/>
        </w:rPr>
        <w:t> </w:t>
      </w:r>
      <w:r>
        <w:rPr>
          <w:sz w:val="22"/>
        </w:rPr>
        <w:t>when</w:t>
      </w:r>
      <w:r>
        <w:rPr>
          <w:spacing w:val="-4"/>
          <w:sz w:val="22"/>
        </w:rPr>
        <w:t> due;</w:t>
      </w:r>
    </w:p>
    <w:p>
      <w:pPr>
        <w:pStyle w:val="BodyText"/>
      </w:pPr>
    </w:p>
    <w:p>
      <w:pPr>
        <w:pStyle w:val="ListParagraph"/>
        <w:numPr>
          <w:ilvl w:val="0"/>
          <w:numId w:val="1"/>
        </w:numPr>
        <w:tabs>
          <w:tab w:pos="1799" w:val="left" w:leader="none"/>
        </w:tabs>
        <w:spacing w:line="240" w:lineRule="auto" w:before="0" w:after="0"/>
        <w:ind w:left="1799" w:right="0" w:hanging="719"/>
        <w:jc w:val="left"/>
        <w:rPr>
          <w:sz w:val="22"/>
        </w:rPr>
      </w:pPr>
      <w:r>
        <w:rPr>
          <w:sz w:val="22"/>
        </w:rPr>
        <w:t>The</w:t>
      </w:r>
      <w:r>
        <w:rPr>
          <w:spacing w:val="-3"/>
          <w:sz w:val="22"/>
        </w:rPr>
        <w:t> </w:t>
      </w:r>
      <w:r>
        <w:rPr>
          <w:sz w:val="22"/>
        </w:rPr>
        <w:t>Insured</w:t>
      </w:r>
      <w:r>
        <w:rPr>
          <w:spacing w:val="-5"/>
          <w:sz w:val="22"/>
        </w:rPr>
        <w:t> </w:t>
      </w:r>
      <w:r>
        <w:rPr>
          <w:sz w:val="22"/>
        </w:rPr>
        <w:t>has</w:t>
      </w:r>
      <w:r>
        <w:rPr>
          <w:spacing w:val="-3"/>
          <w:sz w:val="22"/>
        </w:rPr>
        <w:t> </w:t>
      </w:r>
      <w:r>
        <w:rPr>
          <w:sz w:val="22"/>
        </w:rPr>
        <w:t>requested</w:t>
      </w:r>
      <w:r>
        <w:rPr>
          <w:spacing w:val="-6"/>
          <w:sz w:val="22"/>
        </w:rPr>
        <w:t> </w:t>
      </w:r>
      <w:r>
        <w:rPr>
          <w:spacing w:val="-2"/>
          <w:sz w:val="22"/>
        </w:rPr>
        <w:t>cancellation;</w:t>
      </w:r>
    </w:p>
    <w:p>
      <w:pPr>
        <w:pStyle w:val="BodyText"/>
      </w:pPr>
    </w:p>
    <w:p>
      <w:pPr>
        <w:pStyle w:val="ListParagraph"/>
        <w:numPr>
          <w:ilvl w:val="0"/>
          <w:numId w:val="1"/>
        </w:numPr>
        <w:tabs>
          <w:tab w:pos="1799" w:val="left" w:leader="none"/>
        </w:tabs>
        <w:spacing w:line="240" w:lineRule="auto" w:before="0" w:after="0"/>
        <w:ind w:left="1799" w:right="0" w:hanging="719"/>
        <w:jc w:val="left"/>
        <w:rPr>
          <w:sz w:val="22"/>
        </w:rPr>
      </w:pPr>
      <w:r>
        <w:rPr>
          <w:sz w:val="22"/>
        </w:rPr>
        <w:t>Material</w:t>
      </w:r>
      <w:r>
        <w:rPr>
          <w:spacing w:val="-6"/>
          <w:sz w:val="22"/>
        </w:rPr>
        <w:t> </w:t>
      </w:r>
      <w:r>
        <w:rPr>
          <w:sz w:val="22"/>
        </w:rPr>
        <w:t>failure</w:t>
      </w:r>
      <w:r>
        <w:rPr>
          <w:spacing w:val="-5"/>
          <w:sz w:val="22"/>
        </w:rPr>
        <w:t> </w:t>
      </w:r>
      <w:r>
        <w:rPr>
          <w:sz w:val="22"/>
        </w:rPr>
        <w:t>to</w:t>
      </w:r>
      <w:r>
        <w:rPr>
          <w:spacing w:val="-4"/>
          <w:sz w:val="22"/>
        </w:rPr>
        <w:t> </w:t>
      </w:r>
      <w:r>
        <w:rPr>
          <w:sz w:val="22"/>
        </w:rPr>
        <w:t>comply</w:t>
      </w:r>
      <w:r>
        <w:rPr>
          <w:spacing w:val="-7"/>
          <w:sz w:val="22"/>
        </w:rPr>
        <w:t> </w:t>
      </w:r>
      <w:r>
        <w:rPr>
          <w:sz w:val="22"/>
        </w:rPr>
        <w:t>with</w:t>
      </w:r>
      <w:r>
        <w:rPr>
          <w:spacing w:val="-3"/>
          <w:sz w:val="22"/>
        </w:rPr>
        <w:t> </w:t>
      </w:r>
      <w:r>
        <w:rPr>
          <w:spacing w:val="-2"/>
          <w:sz w:val="22"/>
        </w:rPr>
        <w:t>terms;</w:t>
      </w:r>
    </w:p>
    <w:p>
      <w:pPr>
        <w:pStyle w:val="BodyText"/>
      </w:pPr>
    </w:p>
    <w:p>
      <w:pPr>
        <w:pStyle w:val="ListParagraph"/>
        <w:numPr>
          <w:ilvl w:val="0"/>
          <w:numId w:val="1"/>
        </w:numPr>
        <w:tabs>
          <w:tab w:pos="1799" w:val="left" w:leader="none"/>
        </w:tabs>
        <w:spacing w:line="240" w:lineRule="auto" w:before="1" w:after="0"/>
        <w:ind w:left="1799" w:right="0" w:hanging="719"/>
        <w:jc w:val="left"/>
        <w:rPr>
          <w:sz w:val="22"/>
        </w:rPr>
      </w:pPr>
      <w:r>
        <w:rPr>
          <w:sz w:val="22"/>
        </w:rPr>
        <w:t>Other</w:t>
      </w:r>
      <w:r>
        <w:rPr>
          <w:spacing w:val="-3"/>
          <w:sz w:val="22"/>
        </w:rPr>
        <w:t> </w:t>
      </w:r>
      <w:r>
        <w:rPr>
          <w:sz w:val="22"/>
        </w:rPr>
        <w:t>reasons</w:t>
      </w:r>
      <w:r>
        <w:rPr>
          <w:spacing w:val="-5"/>
          <w:sz w:val="22"/>
        </w:rPr>
        <w:t> </w:t>
      </w:r>
      <w:r>
        <w:rPr>
          <w:sz w:val="22"/>
        </w:rPr>
        <w:t>that</w:t>
      </w:r>
      <w:r>
        <w:rPr>
          <w:spacing w:val="-5"/>
          <w:sz w:val="22"/>
        </w:rPr>
        <w:t> </w:t>
      </w:r>
      <w:r>
        <w:rPr>
          <w:sz w:val="22"/>
        </w:rPr>
        <w:t>the</w:t>
      </w:r>
      <w:r>
        <w:rPr>
          <w:spacing w:val="-4"/>
          <w:sz w:val="22"/>
        </w:rPr>
        <w:t> </w:t>
      </w:r>
      <w:r>
        <w:rPr>
          <w:sz w:val="22"/>
        </w:rPr>
        <w:t>commissioner</w:t>
      </w:r>
      <w:r>
        <w:rPr>
          <w:spacing w:val="-5"/>
          <w:sz w:val="22"/>
        </w:rPr>
        <w:t> </w:t>
      </w:r>
      <w:r>
        <w:rPr>
          <w:sz w:val="22"/>
        </w:rPr>
        <w:t>may</w:t>
      </w:r>
      <w:r>
        <w:rPr>
          <w:spacing w:val="-3"/>
          <w:sz w:val="22"/>
        </w:rPr>
        <w:t> </w:t>
      </w:r>
      <w:r>
        <w:rPr>
          <w:spacing w:val="-2"/>
          <w:sz w:val="22"/>
        </w:rPr>
        <w:t>approve.</w:t>
      </w:r>
    </w:p>
    <w:p>
      <w:pPr>
        <w:pStyle w:val="BodyText"/>
        <w:spacing w:before="268"/>
        <w:ind w:left="360"/>
      </w:pPr>
      <w:r>
        <w:rPr>
          <w:u w:val="single"/>
        </w:rPr>
        <w:t>Notice</w:t>
      </w:r>
      <w:r>
        <w:rPr>
          <w:spacing w:val="-7"/>
          <w:u w:val="single"/>
        </w:rPr>
        <w:t> </w:t>
      </w:r>
      <w:r>
        <w:rPr>
          <w:u w:val="single"/>
        </w:rPr>
        <w:t>Requirements</w:t>
      </w:r>
      <w:r>
        <w:rPr>
          <w:spacing w:val="-5"/>
          <w:u w:val="single"/>
        </w:rPr>
        <w:t> </w:t>
      </w:r>
      <w:r>
        <w:rPr>
          <w:u w:val="single"/>
        </w:rPr>
        <w:t>for</w:t>
      </w:r>
      <w:r>
        <w:rPr>
          <w:spacing w:val="-6"/>
          <w:u w:val="single"/>
        </w:rPr>
        <w:t> </w:t>
      </w:r>
      <w:r>
        <w:rPr>
          <w:u w:val="single"/>
        </w:rPr>
        <w:t>Midterm</w:t>
      </w:r>
      <w:r>
        <w:rPr>
          <w:spacing w:val="-5"/>
          <w:u w:val="single"/>
        </w:rPr>
        <w:t> </w:t>
      </w:r>
      <w:r>
        <w:rPr>
          <w:u w:val="single"/>
        </w:rPr>
        <w:t>Cancellation</w:t>
      </w:r>
      <w:r>
        <w:rPr>
          <w:spacing w:val="-6"/>
          <w:u w:val="single"/>
        </w:rPr>
        <w:t> </w:t>
      </w:r>
      <w:r>
        <w:rPr>
          <w:u w:val="single"/>
        </w:rPr>
        <w:t>and</w:t>
      </w:r>
      <w:r>
        <w:rPr>
          <w:spacing w:val="-5"/>
          <w:u w:val="single"/>
        </w:rPr>
        <w:t> </w:t>
      </w:r>
      <w:r>
        <w:rPr>
          <w:spacing w:val="-2"/>
          <w:u w:val="single"/>
        </w:rPr>
        <w:t>Nonrenewal</w:t>
      </w:r>
    </w:p>
    <w:p>
      <w:pPr>
        <w:pStyle w:val="BodyText"/>
      </w:pPr>
    </w:p>
    <w:p>
      <w:pPr>
        <w:pStyle w:val="BodyText"/>
        <w:ind w:left="360" w:right="355"/>
        <w:jc w:val="both"/>
      </w:pPr>
      <w:r>
        <w:rPr/>
        <w:t>Notice shall be mailed by registered or first class mail by the Insurer directly to the named Insured. Written notice will be forwarded directly to the named Insured at least sixty (60) days in advance of the termination date unless one or more of the following exists:</w:t>
      </w:r>
    </w:p>
    <w:p>
      <w:pPr>
        <w:pStyle w:val="BodyText"/>
      </w:pPr>
    </w:p>
    <w:p>
      <w:pPr>
        <w:pStyle w:val="ListParagraph"/>
        <w:numPr>
          <w:ilvl w:val="0"/>
          <w:numId w:val="2"/>
        </w:numPr>
        <w:tabs>
          <w:tab w:pos="1800" w:val="left" w:leader="none"/>
        </w:tabs>
        <w:spacing w:line="240" w:lineRule="auto" w:before="1" w:after="0"/>
        <w:ind w:left="1800" w:right="354" w:hanging="721"/>
        <w:jc w:val="both"/>
        <w:rPr>
          <w:sz w:val="22"/>
        </w:rPr>
      </w:pPr>
      <w:r>
        <w:rPr>
          <w:sz w:val="22"/>
        </w:rPr>
        <w:t>The Insured has made a material misrepresentation which affects the insurability of the risk, in which case the prescribed written notice of cancellation shall be forwarded directly to the named Insured at least fifteen (15) days in advance of the effective date of termination.</w:t>
      </w:r>
    </w:p>
    <w:p>
      <w:pPr>
        <w:pStyle w:val="ListParagraph"/>
        <w:numPr>
          <w:ilvl w:val="0"/>
          <w:numId w:val="2"/>
        </w:numPr>
        <w:tabs>
          <w:tab w:pos="1800" w:val="left" w:leader="none"/>
        </w:tabs>
        <w:spacing w:line="240" w:lineRule="auto" w:before="267" w:after="0"/>
        <w:ind w:left="1800" w:right="354" w:hanging="721"/>
        <w:jc w:val="both"/>
        <w:rPr>
          <w:sz w:val="22"/>
        </w:rPr>
      </w:pPr>
      <w:r>
        <w:rPr>
          <w:sz w:val="22"/>
        </w:rPr>
        <w:t>The Insured has failed to pay a premium when due, whether the premium is payable directly to the Insurer or its agents or indirectly under a premium finance plan or extension of credit, in which case the prescribed written notice of cancellation shall be forwarded directly to the named insured at least fifteen (15) days in advance of the effective date of termination.</w:t>
      </w:r>
    </w:p>
    <w:p>
      <w:pPr>
        <w:pStyle w:val="ListParagraph"/>
        <w:spacing w:after="0" w:line="240" w:lineRule="auto"/>
        <w:jc w:val="both"/>
        <w:rPr>
          <w:sz w:val="22"/>
        </w:rPr>
        <w:sectPr>
          <w:footerReference w:type="default" r:id="rId5"/>
          <w:type w:val="continuous"/>
          <w:pgSz w:w="12240" w:h="15840"/>
          <w:pgMar w:header="0" w:footer="748" w:top="680" w:bottom="940" w:left="1080" w:right="1080"/>
          <w:pgNumType w:start="1"/>
        </w:sectPr>
      </w:pPr>
    </w:p>
    <w:p>
      <w:pPr>
        <w:pStyle w:val="ListParagraph"/>
        <w:numPr>
          <w:ilvl w:val="0"/>
          <w:numId w:val="2"/>
        </w:numPr>
        <w:tabs>
          <w:tab w:pos="1800" w:val="left" w:leader="none"/>
        </w:tabs>
        <w:spacing w:line="240" w:lineRule="auto" w:before="39" w:after="0"/>
        <w:ind w:left="1800" w:right="354" w:hanging="721"/>
        <w:jc w:val="both"/>
        <w:rPr>
          <w:sz w:val="22"/>
        </w:rPr>
      </w:pPr>
      <w:r>
        <w:rPr>
          <w:sz w:val="22"/>
        </w:rPr>
        <w:t>The policy was cancelled by the named Insured, in which case written notice of cancellation shall not be required and coverage shall be terminated on the date requested by the Insured.</w:t>
      </w:r>
      <w:r>
        <w:rPr>
          <w:spacing w:val="40"/>
          <w:sz w:val="22"/>
        </w:rPr>
        <w:t> </w:t>
      </w:r>
      <w:r>
        <w:rPr>
          <w:sz w:val="22"/>
        </w:rPr>
        <w:t>Nothing in these three sections shall restrict the Insurer’s right to rescind</w:t>
      </w:r>
      <w:r>
        <w:rPr>
          <w:spacing w:val="-1"/>
          <w:sz w:val="22"/>
        </w:rPr>
        <w:t> </w:t>
      </w:r>
      <w:r>
        <w:rPr>
          <w:sz w:val="22"/>
        </w:rPr>
        <w:t>an</w:t>
      </w:r>
      <w:r>
        <w:rPr>
          <w:spacing w:val="-4"/>
          <w:sz w:val="22"/>
        </w:rPr>
        <w:t> </w:t>
      </w:r>
      <w:r>
        <w:rPr>
          <w:sz w:val="22"/>
        </w:rPr>
        <w:t>insurance policy</w:t>
      </w:r>
      <w:r>
        <w:rPr>
          <w:spacing w:val="-2"/>
          <w:sz w:val="22"/>
        </w:rPr>
        <w:t> </w:t>
      </w:r>
      <w:r>
        <w:rPr>
          <w:sz w:val="22"/>
        </w:rPr>
        <w:t>ab</w:t>
      </w:r>
      <w:r>
        <w:rPr>
          <w:spacing w:val="-1"/>
          <w:sz w:val="22"/>
        </w:rPr>
        <w:t> </w:t>
      </w:r>
      <w:r>
        <w:rPr>
          <w:sz w:val="22"/>
        </w:rPr>
        <w:t>initio upon</w:t>
      </w:r>
      <w:r>
        <w:rPr>
          <w:spacing w:val="-1"/>
          <w:sz w:val="22"/>
        </w:rPr>
        <w:t> </w:t>
      </w:r>
      <w:r>
        <w:rPr>
          <w:sz w:val="22"/>
        </w:rPr>
        <w:t>discovery</w:t>
      </w:r>
      <w:r>
        <w:rPr>
          <w:spacing w:val="-2"/>
          <w:sz w:val="22"/>
        </w:rPr>
        <w:t> </w:t>
      </w:r>
      <w:r>
        <w:rPr>
          <w:sz w:val="22"/>
        </w:rPr>
        <w:t>that</w:t>
      </w:r>
      <w:r>
        <w:rPr>
          <w:spacing w:val="-2"/>
          <w:sz w:val="22"/>
        </w:rPr>
        <w:t> </w:t>
      </w:r>
      <w:r>
        <w:rPr>
          <w:sz w:val="22"/>
        </w:rPr>
        <w:t>the</w:t>
      </w:r>
      <w:r>
        <w:rPr>
          <w:spacing w:val="-2"/>
          <w:sz w:val="22"/>
        </w:rPr>
        <w:t> </w:t>
      </w:r>
      <w:r>
        <w:rPr>
          <w:sz w:val="22"/>
        </w:rPr>
        <w:t>policy</w:t>
      </w:r>
      <w:r>
        <w:rPr>
          <w:spacing w:val="-2"/>
          <w:sz w:val="22"/>
        </w:rPr>
        <w:t> </w:t>
      </w:r>
      <w:r>
        <w:rPr>
          <w:sz w:val="22"/>
        </w:rPr>
        <w:t>was</w:t>
      </w:r>
      <w:r>
        <w:rPr>
          <w:spacing w:val="-5"/>
          <w:sz w:val="22"/>
        </w:rPr>
        <w:t> </w:t>
      </w:r>
      <w:r>
        <w:rPr>
          <w:sz w:val="22"/>
        </w:rPr>
        <w:t>obtained through fraudulent statements, omissions or concealment of fact material to the acceptance of the risk or to the hazard assumed by the Insurer.</w:t>
      </w:r>
    </w:p>
    <w:p>
      <w:pPr>
        <w:pStyle w:val="BodyText"/>
        <w:spacing w:before="267"/>
        <w:ind w:left="1079" w:right="353"/>
        <w:jc w:val="both"/>
      </w:pPr>
      <w:r>
        <w:rPr/>
        <w:t>The notice shall be clearly labeled “Notice of Cancellation” or “Notice of Nonrenewal”.</w:t>
      </w:r>
      <w:r>
        <w:rPr>
          <w:spacing w:val="40"/>
        </w:rPr>
        <w:t> </w:t>
      </w:r>
      <w:r>
        <w:rPr/>
        <w:t>A midterm cancellation or nonrenewal notice shall state the specific reasons for the cancellation</w:t>
      </w:r>
      <w:r>
        <w:rPr>
          <w:spacing w:val="40"/>
        </w:rPr>
        <w:t> </w:t>
      </w:r>
      <w:r>
        <w:rPr/>
        <w:t>or nonrenewal.</w:t>
      </w:r>
      <w:r>
        <w:rPr>
          <w:spacing w:val="40"/>
        </w:rPr>
        <w:t> </w:t>
      </w:r>
      <w:r>
        <w:rPr/>
        <w:t>The reasons shall identify the condition or loss experience which caused the midterm cancellation or nonrenewal.</w:t>
      </w:r>
      <w:r>
        <w:rPr>
          <w:spacing w:val="40"/>
        </w:rPr>
        <w:t> </w:t>
      </w:r>
      <w:r>
        <w:rPr/>
        <w:t>The notice shall provide sufficient information or data for the Insured to correct the deficiency.</w:t>
      </w:r>
    </w:p>
    <w:p>
      <w:pPr>
        <w:pStyle w:val="BodyText"/>
        <w:spacing w:before="1"/>
      </w:pPr>
    </w:p>
    <w:p>
      <w:pPr>
        <w:pStyle w:val="BodyText"/>
        <w:ind w:left="1079" w:right="354"/>
        <w:jc w:val="both"/>
      </w:pPr>
      <w:r>
        <w:rPr/>
        <w:t>A midterm cancellation or nonrenewal notice shall state that, at the Insured’s request, the Insurer</w:t>
      </w:r>
      <w:r>
        <w:rPr>
          <w:spacing w:val="-1"/>
        </w:rPr>
        <w:t> </w:t>
      </w:r>
      <w:r>
        <w:rPr/>
        <w:t>shall</w:t>
      </w:r>
      <w:r>
        <w:rPr>
          <w:spacing w:val="-1"/>
        </w:rPr>
        <w:t> </w:t>
      </w:r>
      <w:r>
        <w:rPr/>
        <w:t>provide loss</w:t>
      </w:r>
      <w:r>
        <w:rPr>
          <w:spacing w:val="-1"/>
        </w:rPr>
        <w:t> </w:t>
      </w:r>
      <w:r>
        <w:rPr/>
        <w:t>information</w:t>
      </w:r>
      <w:r>
        <w:rPr>
          <w:spacing w:val="-4"/>
        </w:rPr>
        <w:t> </w:t>
      </w:r>
      <w:r>
        <w:rPr/>
        <w:t>to</w:t>
      </w:r>
      <w:r>
        <w:rPr>
          <w:spacing w:val="-2"/>
        </w:rPr>
        <w:t> </w:t>
      </w:r>
      <w:r>
        <w:rPr/>
        <w:t>the Insured</w:t>
      </w:r>
      <w:r>
        <w:rPr>
          <w:spacing w:val="-2"/>
        </w:rPr>
        <w:t> </w:t>
      </w:r>
      <w:r>
        <w:rPr/>
        <w:t>for</w:t>
      </w:r>
      <w:r>
        <w:rPr>
          <w:spacing w:val="-1"/>
        </w:rPr>
        <w:t> </w:t>
      </w:r>
      <w:r>
        <w:rPr/>
        <w:t>at least</w:t>
      </w:r>
      <w:r>
        <w:rPr>
          <w:spacing w:val="-3"/>
        </w:rPr>
        <w:t> </w:t>
      </w:r>
      <w:r>
        <w:rPr/>
        <w:t>three</w:t>
      </w:r>
      <w:r>
        <w:rPr>
          <w:spacing w:val="-3"/>
        </w:rPr>
        <w:t> </w:t>
      </w:r>
      <w:r>
        <w:rPr/>
        <w:t>years</w:t>
      </w:r>
      <w:r>
        <w:rPr>
          <w:spacing w:val="-1"/>
        </w:rPr>
        <w:t> </w:t>
      </w:r>
      <w:r>
        <w:rPr/>
        <w:t>or</w:t>
      </w:r>
      <w:r>
        <w:rPr>
          <w:spacing w:val="-3"/>
        </w:rPr>
        <w:t> </w:t>
      </w:r>
      <w:r>
        <w:rPr/>
        <w:t>the</w:t>
      </w:r>
      <w:r>
        <w:rPr>
          <w:spacing w:val="-3"/>
        </w:rPr>
        <w:t> </w:t>
      </w:r>
      <w:r>
        <w:rPr/>
        <w:t>period</w:t>
      </w:r>
      <w:r>
        <w:rPr>
          <w:spacing w:val="-2"/>
        </w:rPr>
        <w:t> </w:t>
      </w:r>
      <w:r>
        <w:rPr/>
        <w:t>of</w:t>
      </w:r>
      <w:r>
        <w:rPr>
          <w:spacing w:val="-3"/>
        </w:rPr>
        <w:t> </w:t>
      </w:r>
      <w:r>
        <w:rPr/>
        <w:t>time during which the Insurer has provided coverage to the Insured, whichever is less.</w:t>
      </w:r>
      <w:r>
        <w:rPr>
          <w:spacing w:val="40"/>
        </w:rPr>
        <w:t> </w:t>
      </w:r>
      <w:r>
        <w:rPr/>
        <w:t>Loss information on the Insured shall consist of the following:</w:t>
      </w:r>
    </w:p>
    <w:p>
      <w:pPr>
        <w:pStyle w:val="ListParagraph"/>
        <w:numPr>
          <w:ilvl w:val="0"/>
          <w:numId w:val="3"/>
        </w:numPr>
        <w:tabs>
          <w:tab w:pos="1799" w:val="left" w:leader="none"/>
        </w:tabs>
        <w:spacing w:line="240" w:lineRule="auto" w:before="268" w:after="0"/>
        <w:ind w:left="1799" w:right="356" w:hanging="721"/>
        <w:jc w:val="left"/>
        <w:rPr>
          <w:sz w:val="22"/>
        </w:rPr>
      </w:pPr>
      <w:r>
        <w:rPr>
          <w:sz w:val="22"/>
        </w:rPr>
        <w:t>Information on closed claims, including date and description of occurrence, and amount of payments, if any;</w:t>
      </w:r>
    </w:p>
    <w:p>
      <w:pPr>
        <w:pStyle w:val="BodyText"/>
      </w:pPr>
    </w:p>
    <w:p>
      <w:pPr>
        <w:pStyle w:val="ListParagraph"/>
        <w:numPr>
          <w:ilvl w:val="0"/>
          <w:numId w:val="3"/>
        </w:numPr>
        <w:tabs>
          <w:tab w:pos="1799" w:val="left" w:leader="none"/>
        </w:tabs>
        <w:spacing w:line="240" w:lineRule="auto" w:before="0" w:after="0"/>
        <w:ind w:left="1799" w:right="355" w:hanging="721"/>
        <w:jc w:val="left"/>
        <w:rPr>
          <w:sz w:val="22"/>
        </w:rPr>
      </w:pPr>
      <w:r>
        <w:rPr>
          <w:sz w:val="22"/>
        </w:rPr>
        <w:t>Information on</w:t>
      </w:r>
      <w:r>
        <w:rPr>
          <w:spacing w:val="27"/>
          <w:sz w:val="22"/>
        </w:rPr>
        <w:t> </w:t>
      </w:r>
      <w:r>
        <w:rPr>
          <w:sz w:val="22"/>
        </w:rPr>
        <w:t>open</w:t>
      </w:r>
      <w:r>
        <w:rPr>
          <w:spacing w:val="27"/>
          <w:sz w:val="22"/>
        </w:rPr>
        <w:t> </w:t>
      </w:r>
      <w:r>
        <w:rPr>
          <w:sz w:val="22"/>
        </w:rPr>
        <w:t>claims,</w:t>
      </w:r>
      <w:r>
        <w:rPr>
          <w:spacing w:val="27"/>
          <w:sz w:val="22"/>
        </w:rPr>
        <w:t> </w:t>
      </w:r>
      <w:r>
        <w:rPr>
          <w:sz w:val="22"/>
        </w:rPr>
        <w:t>including</w:t>
      </w:r>
      <w:r>
        <w:rPr>
          <w:spacing w:val="26"/>
          <w:sz w:val="22"/>
        </w:rPr>
        <w:t> </w:t>
      </w:r>
      <w:r>
        <w:rPr>
          <w:sz w:val="22"/>
        </w:rPr>
        <w:t>date</w:t>
      </w:r>
      <w:r>
        <w:rPr>
          <w:spacing w:val="28"/>
          <w:sz w:val="22"/>
        </w:rPr>
        <w:t> </w:t>
      </w:r>
      <w:r>
        <w:rPr>
          <w:sz w:val="22"/>
        </w:rPr>
        <w:t>and</w:t>
      </w:r>
      <w:r>
        <w:rPr>
          <w:spacing w:val="26"/>
          <w:sz w:val="22"/>
        </w:rPr>
        <w:t> </w:t>
      </w:r>
      <w:r>
        <w:rPr>
          <w:sz w:val="22"/>
        </w:rPr>
        <w:t>description of</w:t>
      </w:r>
      <w:r>
        <w:rPr>
          <w:spacing w:val="27"/>
          <w:sz w:val="22"/>
        </w:rPr>
        <w:t> </w:t>
      </w:r>
      <w:r>
        <w:rPr>
          <w:sz w:val="22"/>
        </w:rPr>
        <w:t>occurrence,</w:t>
      </w:r>
      <w:r>
        <w:rPr>
          <w:spacing w:val="27"/>
          <w:sz w:val="22"/>
        </w:rPr>
        <w:t> </w:t>
      </w:r>
      <w:r>
        <w:rPr>
          <w:sz w:val="22"/>
        </w:rPr>
        <w:t>amount of payment, if any, and amount of reserves, if any;</w:t>
      </w:r>
    </w:p>
    <w:p>
      <w:pPr>
        <w:pStyle w:val="ListParagraph"/>
        <w:numPr>
          <w:ilvl w:val="0"/>
          <w:numId w:val="3"/>
        </w:numPr>
        <w:tabs>
          <w:tab w:pos="1799" w:val="left" w:leader="none"/>
        </w:tabs>
        <w:spacing w:line="240" w:lineRule="auto" w:before="267" w:after="0"/>
        <w:ind w:left="1799" w:right="354" w:hanging="721"/>
        <w:jc w:val="left"/>
        <w:rPr>
          <w:sz w:val="22"/>
        </w:rPr>
      </w:pPr>
      <w:r>
        <w:rPr>
          <w:sz w:val="22"/>
        </w:rPr>
        <w:t>Information on notices of occurrence, including date and description of occurrence and amount of reserves, if any.</w:t>
      </w:r>
    </w:p>
    <w:p>
      <w:pPr>
        <w:pStyle w:val="BodyText"/>
      </w:pPr>
    </w:p>
    <w:p>
      <w:pPr>
        <w:pStyle w:val="BodyText"/>
        <w:ind w:left="1079" w:right="353"/>
        <w:jc w:val="both"/>
      </w:pPr>
      <w:r>
        <w:rPr/>
        <w:t>The Insured’s written request for loss information must be made within ten (10) days of the Insured’s receipt of the midterm cancellation or nonrenewal notice.</w:t>
      </w:r>
      <w:r>
        <w:rPr>
          <w:spacing w:val="80"/>
        </w:rPr>
        <w:t> </w:t>
      </w:r>
      <w:r>
        <w:rPr/>
        <w:t>The Insurer shall have</w:t>
      </w:r>
      <w:r>
        <w:rPr>
          <w:spacing w:val="40"/>
        </w:rPr>
        <w:t> </w:t>
      </w:r>
      <w:r>
        <w:rPr/>
        <w:t>thirty (30) days from the date of receipt of the Insured’s written request to provide the requested information.</w:t>
      </w:r>
    </w:p>
    <w:p>
      <w:pPr>
        <w:pStyle w:val="BodyText"/>
        <w:spacing w:before="3"/>
      </w:pPr>
    </w:p>
    <w:p>
      <w:pPr>
        <w:pStyle w:val="BodyText"/>
        <w:ind w:left="1080"/>
        <w:jc w:val="both"/>
      </w:pPr>
      <w:r>
        <w:rPr>
          <w:u w:val="single"/>
        </w:rPr>
        <w:t>Notice</w:t>
      </w:r>
      <w:r>
        <w:rPr>
          <w:spacing w:val="-4"/>
          <w:u w:val="single"/>
        </w:rPr>
        <w:t> </w:t>
      </w:r>
      <w:r>
        <w:rPr>
          <w:u w:val="single"/>
        </w:rPr>
        <w:t>of</w:t>
      </w:r>
      <w:r>
        <w:rPr>
          <w:spacing w:val="-4"/>
          <w:u w:val="single"/>
        </w:rPr>
        <w:t> </w:t>
      </w:r>
      <w:r>
        <w:rPr>
          <w:u w:val="single"/>
        </w:rPr>
        <w:t>Increase</w:t>
      </w:r>
      <w:r>
        <w:rPr>
          <w:spacing w:val="-2"/>
          <w:u w:val="single"/>
        </w:rPr>
        <w:t> </w:t>
      </w:r>
      <w:r>
        <w:rPr>
          <w:u w:val="single"/>
        </w:rPr>
        <w:t>in</w:t>
      </w:r>
      <w:r>
        <w:rPr>
          <w:spacing w:val="-4"/>
          <w:u w:val="single"/>
        </w:rPr>
        <w:t> </w:t>
      </w:r>
      <w:r>
        <w:rPr>
          <w:spacing w:val="-2"/>
          <w:u w:val="single"/>
        </w:rPr>
        <w:t>Premium</w:t>
      </w:r>
    </w:p>
    <w:p>
      <w:pPr>
        <w:pStyle w:val="BodyText"/>
        <w:spacing w:before="267"/>
        <w:ind w:left="1080" w:right="355"/>
        <w:jc w:val="both"/>
      </w:pPr>
      <w:r>
        <w:rPr/>
        <w:t>The Insurer shall provide not less than thirty (30) days notice to the Insured of an increase in renewal premium.</w:t>
      </w:r>
      <w:r>
        <w:rPr>
          <w:spacing w:val="80"/>
        </w:rPr>
        <w:t> </w:t>
      </w:r>
      <w:r>
        <w:rPr/>
        <w:t>The notice of renewal premium increase will be mailed or delivered to the Insured’s last known address.</w:t>
      </w:r>
      <w:r>
        <w:rPr>
          <w:spacing w:val="40"/>
        </w:rPr>
        <w:t> </w:t>
      </w:r>
      <w:r>
        <w:rPr/>
        <w:t>If notice is mailed, it will be by registered or first class mail.</w:t>
      </w:r>
    </w:p>
    <w:p>
      <w:pPr>
        <w:pStyle w:val="BodyText"/>
        <w:spacing w:before="1"/>
      </w:pPr>
    </w:p>
    <w:p>
      <w:pPr>
        <w:pStyle w:val="BodyText"/>
        <w:ind w:left="1080"/>
        <w:jc w:val="both"/>
      </w:pPr>
      <w:r>
        <w:rPr>
          <w:u w:val="single"/>
        </w:rPr>
        <w:t>Return</w:t>
      </w:r>
      <w:r>
        <w:rPr>
          <w:spacing w:val="-6"/>
          <w:u w:val="single"/>
        </w:rPr>
        <w:t> </w:t>
      </w:r>
      <w:r>
        <w:rPr>
          <w:u w:val="single"/>
        </w:rPr>
        <w:t>of</w:t>
      </w:r>
      <w:r>
        <w:rPr>
          <w:spacing w:val="-3"/>
          <w:u w:val="single"/>
        </w:rPr>
        <w:t> </w:t>
      </w:r>
      <w:r>
        <w:rPr>
          <w:u w:val="single"/>
        </w:rPr>
        <w:t>Unearned</w:t>
      </w:r>
      <w:r>
        <w:rPr>
          <w:spacing w:val="-4"/>
          <w:u w:val="single"/>
        </w:rPr>
        <w:t> </w:t>
      </w:r>
      <w:r>
        <w:rPr>
          <w:spacing w:val="-2"/>
          <w:u w:val="single"/>
        </w:rPr>
        <w:t>Premium</w:t>
      </w:r>
    </w:p>
    <w:p>
      <w:pPr>
        <w:pStyle w:val="BodyText"/>
      </w:pPr>
    </w:p>
    <w:p>
      <w:pPr>
        <w:pStyle w:val="BodyText"/>
        <w:ind w:left="1080" w:right="35"/>
      </w:pPr>
      <w:r>
        <w:rPr/>
        <w:t>Cancellation Initiated By Insurer – Unearned premium must be returned to the Insured not later than ten (10) business days after the effective date of termination.</w:t>
      </w:r>
    </w:p>
    <w:p>
      <w:pPr>
        <w:pStyle w:val="BodyText"/>
        <w:spacing w:before="3"/>
      </w:pPr>
    </w:p>
    <w:p>
      <w:pPr>
        <w:pStyle w:val="BodyText"/>
        <w:spacing w:line="237" w:lineRule="auto"/>
        <w:ind w:left="1079" w:right="35"/>
      </w:pPr>
      <w:r>
        <w:rPr/>
        <w:t>Cancellation Initiated</w:t>
      </w:r>
      <w:r>
        <w:rPr>
          <w:spacing w:val="-3"/>
        </w:rPr>
        <w:t> </w:t>
      </w:r>
      <w:r>
        <w:rPr/>
        <w:t>by Insured – Unearned premium</w:t>
      </w:r>
      <w:r>
        <w:rPr>
          <w:spacing w:val="-1"/>
        </w:rPr>
        <w:t> </w:t>
      </w:r>
      <w:r>
        <w:rPr/>
        <w:t>must</w:t>
      </w:r>
      <w:r>
        <w:rPr>
          <w:spacing w:val="-1"/>
        </w:rPr>
        <w:t> </w:t>
      </w:r>
      <w:r>
        <w:rPr/>
        <w:t>be returned to</w:t>
      </w:r>
      <w:r>
        <w:rPr>
          <w:spacing w:val="-1"/>
        </w:rPr>
        <w:t> </w:t>
      </w:r>
      <w:r>
        <w:rPr/>
        <w:t>the</w:t>
      </w:r>
      <w:r>
        <w:rPr>
          <w:spacing w:val="-1"/>
        </w:rPr>
        <w:t> </w:t>
      </w:r>
      <w:r>
        <w:rPr/>
        <w:t>Insured not later than thirty (30) days after the effective date of termination.</w:t>
      </w:r>
    </w:p>
    <w:p>
      <w:pPr>
        <w:pStyle w:val="BodyText"/>
        <w:spacing w:before="1"/>
      </w:pPr>
    </w:p>
    <w:p>
      <w:pPr>
        <w:pStyle w:val="BodyText"/>
        <w:ind w:left="1079"/>
      </w:pPr>
      <w:r>
        <w:rPr/>
        <w:t>All</w:t>
      </w:r>
      <w:r>
        <w:rPr>
          <w:spacing w:val="-3"/>
        </w:rPr>
        <w:t> </w:t>
      </w:r>
      <w:r>
        <w:rPr/>
        <w:t>other</w:t>
      </w:r>
      <w:r>
        <w:rPr>
          <w:spacing w:val="-5"/>
        </w:rPr>
        <w:t> </w:t>
      </w:r>
      <w:r>
        <w:rPr/>
        <w:t>terms,</w:t>
      </w:r>
      <w:r>
        <w:rPr>
          <w:spacing w:val="-5"/>
        </w:rPr>
        <w:t> </w:t>
      </w:r>
      <w:r>
        <w:rPr/>
        <w:t>conditions</w:t>
      </w:r>
      <w:r>
        <w:rPr>
          <w:spacing w:val="-4"/>
        </w:rPr>
        <w:t> </w:t>
      </w:r>
      <w:r>
        <w:rPr/>
        <w:t>and</w:t>
      </w:r>
      <w:r>
        <w:rPr>
          <w:spacing w:val="-4"/>
        </w:rPr>
        <w:t> </w:t>
      </w:r>
      <w:r>
        <w:rPr/>
        <w:t>exclusions</w:t>
      </w:r>
      <w:r>
        <w:rPr>
          <w:spacing w:val="-3"/>
        </w:rPr>
        <w:t> </w:t>
      </w:r>
      <w:r>
        <w:rPr/>
        <w:t>shall</w:t>
      </w:r>
      <w:r>
        <w:rPr>
          <w:spacing w:val="-3"/>
        </w:rPr>
        <w:t> </w:t>
      </w:r>
      <w:r>
        <w:rPr/>
        <w:t>remain</w:t>
      </w:r>
      <w:r>
        <w:rPr>
          <w:spacing w:val="-6"/>
        </w:rPr>
        <w:t> </w:t>
      </w:r>
      <w:r>
        <w:rPr/>
        <w:t>the</w:t>
      </w:r>
      <w:r>
        <w:rPr>
          <w:spacing w:val="-1"/>
        </w:rPr>
        <w:t> </w:t>
      </w:r>
      <w:r>
        <w:rPr>
          <w:spacing w:val="-2"/>
        </w:rPr>
        <w:t>same.</w:t>
      </w:r>
    </w:p>
    <w:p>
      <w:pPr>
        <w:pStyle w:val="BodyText"/>
        <w:rPr>
          <w:sz w:val="20"/>
        </w:rPr>
      </w:pPr>
    </w:p>
    <w:p>
      <w:pPr>
        <w:pStyle w:val="BodyText"/>
        <w:rPr>
          <w:sz w:val="20"/>
        </w:rPr>
      </w:pPr>
    </w:p>
    <w:p>
      <w:pPr>
        <w:pStyle w:val="BodyText"/>
        <w:rPr>
          <w:sz w:val="20"/>
        </w:rPr>
      </w:pPr>
    </w:p>
    <w:p>
      <w:pPr>
        <w:pStyle w:val="BodyText"/>
        <w:spacing w:before="40"/>
        <w:rPr>
          <w:sz w:val="20"/>
        </w:rPr>
      </w:pPr>
      <w:r>
        <w:rPr>
          <w:sz w:val="20"/>
        </w:rPr>
        <mc:AlternateContent>
          <mc:Choice Requires="wps">
            <w:drawing>
              <wp:anchor distT="0" distB="0" distL="0" distR="0" allowOverlap="1" layoutInCell="1" locked="0" behindDoc="1" simplePos="0" relativeHeight="487587840">
                <wp:simplePos x="0" y="0"/>
                <wp:positionH relativeFrom="page">
                  <wp:posOffset>4114800</wp:posOffset>
                </wp:positionH>
                <wp:positionV relativeFrom="paragraph">
                  <wp:posOffset>196150</wp:posOffset>
                </wp:positionV>
                <wp:extent cx="2286000" cy="9525"/>
                <wp:effectExtent l="0" t="0" r="0" b="0"/>
                <wp:wrapTopAndBottom/>
                <wp:docPr id="2" name="Graphic 2"/>
                <wp:cNvGraphicFramePr>
                  <a:graphicFrameLocks/>
                </wp:cNvGraphicFramePr>
                <a:graphic>
                  <a:graphicData uri="http://schemas.microsoft.com/office/word/2010/wordprocessingShape">
                    <wps:wsp>
                      <wps:cNvPr id="2" name="Graphic 2"/>
                      <wps:cNvSpPr/>
                      <wps:spPr>
                        <a:xfrm>
                          <a:off x="0" y="0"/>
                          <a:ext cx="2286000" cy="9525"/>
                        </a:xfrm>
                        <a:custGeom>
                          <a:avLst/>
                          <a:gdLst/>
                          <a:ahLst/>
                          <a:cxnLst/>
                          <a:rect l="l" t="t" r="r" b="b"/>
                          <a:pathLst>
                            <a:path w="2286000" h="9525">
                              <a:moveTo>
                                <a:pt x="2286000" y="0"/>
                              </a:moveTo>
                              <a:lnTo>
                                <a:pt x="0" y="0"/>
                              </a:lnTo>
                              <a:lnTo>
                                <a:pt x="0" y="9144"/>
                              </a:lnTo>
                              <a:lnTo>
                                <a:pt x="2286000" y="9144"/>
                              </a:lnTo>
                              <a:lnTo>
                                <a:pt x="22860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rect style="position:absolute;margin-left:324pt;margin-top:15.444882pt;width:180pt;height:.72pt;mso-position-horizontal-relative:page;mso-position-vertical-relative:paragraph;z-index:-15728640;mso-wrap-distance-left:0;mso-wrap-distance-right:0" id="docshape2" filled="true" fillcolor="#000000" stroked="false">
                <v:fill type="solid"/>
                <w10:wrap type="topAndBottom"/>
              </v:rect>
            </w:pict>
          </mc:Fallback>
        </mc:AlternateContent>
      </w:r>
    </w:p>
    <w:p>
      <w:pPr>
        <w:pStyle w:val="BodyText"/>
        <w:spacing w:before="21"/>
        <w:ind w:left="5450"/>
      </w:pPr>
      <w:r>
        <w:rPr/>
        <w:t>AUTHORIZED</w:t>
      </w:r>
      <w:r>
        <w:rPr>
          <w:spacing w:val="-7"/>
        </w:rPr>
        <w:t> </w:t>
      </w:r>
      <w:r>
        <w:rPr>
          <w:spacing w:val="-2"/>
        </w:rPr>
        <w:t>REPRESENTATIVE</w:t>
      </w:r>
    </w:p>
    <w:sectPr>
      <w:pgSz w:w="12240" w:h="15840"/>
      <w:pgMar w:header="0" w:footer="748" w:top="680" w:bottom="960" w:left="1080" w:right="10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Calibri">
    <w:altName w:val="Calibri"/>
    <w:charset w:val="0"/>
    <w:family w:val="swiss"/>
    <w:pitch w:val="variable"/>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w:sz w:val="20"/>
      </w:rPr>
      <mc:AlternateContent>
        <mc:Choice Requires="wps">
          <w:drawing>
            <wp:anchor distT="0" distB="0" distL="0" distR="0" allowOverlap="1" layoutInCell="1" locked="0" behindDoc="1" simplePos="0" relativeHeight="487539712">
              <wp:simplePos x="0" y="0"/>
              <wp:positionH relativeFrom="page">
                <wp:posOffset>901700</wp:posOffset>
              </wp:positionH>
              <wp:positionV relativeFrom="page">
                <wp:posOffset>9443428</wp:posOffset>
              </wp:positionV>
              <wp:extent cx="771525" cy="165735"/>
              <wp:effectExtent l="0" t="0" r="0" b="0"/>
              <wp:wrapNone/>
              <wp:docPr id="1" name="Textbox 1"/>
              <wp:cNvGraphicFramePr>
                <a:graphicFrameLocks/>
              </wp:cNvGraphicFramePr>
              <a:graphic>
                <a:graphicData uri="http://schemas.microsoft.com/office/word/2010/wordprocessingShape">
                  <wps:wsp>
                    <wps:cNvPr id="1" name="Textbox 1"/>
                    <wps:cNvSpPr txBox="1"/>
                    <wps:spPr>
                      <a:xfrm>
                        <a:off x="0" y="0"/>
                        <a:ext cx="771525" cy="165735"/>
                      </a:xfrm>
                      <a:prstGeom prst="rect">
                        <a:avLst/>
                      </a:prstGeom>
                    </wps:spPr>
                    <wps:txbx>
                      <w:txbxContent>
                        <w:p>
                          <w:pPr>
                            <w:pStyle w:val="BodyText"/>
                            <w:spacing w:line="245" w:lineRule="exact"/>
                            <w:ind w:left="20"/>
                          </w:pPr>
                          <w:r>
                            <w:rPr/>
                            <w:t>52165</w:t>
                          </w:r>
                          <w:r>
                            <w:rPr>
                              <w:spacing w:val="1"/>
                            </w:rPr>
                            <w:t> </w:t>
                          </w:r>
                          <w:r>
                            <w:rPr>
                              <w:spacing w:val="-2"/>
                            </w:rPr>
                            <w:t>(5/08)</w:t>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71pt;margin-top:743.577026pt;width:60.75pt;height:13.05pt;mso-position-horizontal-relative:page;mso-position-vertical-relative:page;z-index:-15776768" type="#_x0000_t202" id="docshape1" filled="false" stroked="false">
              <v:textbox inset="0,0,0,0">
                <w:txbxContent>
                  <w:p>
                    <w:pPr>
                      <w:pStyle w:val="BodyText"/>
                      <w:spacing w:line="245" w:lineRule="exact"/>
                      <w:ind w:left="20"/>
                    </w:pPr>
                    <w:r>
                      <w:rPr/>
                      <w:t>52165</w:t>
                    </w:r>
                    <w:r>
                      <w:rPr>
                        <w:spacing w:val="1"/>
                      </w:rPr>
                      <w:t> </w:t>
                    </w:r>
                    <w:r>
                      <w:rPr>
                        <w:spacing w:val="-2"/>
                      </w:rPr>
                      <w:t>(5/08)</w:t>
                    </w:r>
                  </w:p>
                </w:txbxContent>
              </v:textbox>
              <w10:wrap type="none"/>
            </v:shape>
          </w:pict>
        </mc:Fallback>
      </mc:AlternateConten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2">
    <w:multiLevelType w:val="hybridMultilevel"/>
    <w:lvl w:ilvl="0">
      <w:start w:val="1"/>
      <w:numFmt w:val="decimal"/>
      <w:lvlText w:val="%1)"/>
      <w:lvlJc w:val="left"/>
      <w:pPr>
        <w:ind w:left="1799" w:hanging="721"/>
        <w:jc w:val="left"/>
      </w:pPr>
      <w:rPr>
        <w:rFonts w:hint="default" w:ascii="Calibri" w:hAnsi="Calibri" w:eastAsia="Calibri" w:cs="Calibri"/>
        <w:b w:val="0"/>
        <w:bCs w:val="0"/>
        <w:i w:val="0"/>
        <w:iCs w:val="0"/>
        <w:spacing w:val="0"/>
        <w:w w:val="100"/>
        <w:sz w:val="22"/>
        <w:szCs w:val="22"/>
        <w:lang w:val="en-US" w:eastAsia="en-US" w:bidi="ar-SA"/>
      </w:rPr>
    </w:lvl>
    <w:lvl w:ilvl="1">
      <w:start w:val="0"/>
      <w:numFmt w:val="bullet"/>
      <w:lvlText w:val="•"/>
      <w:lvlJc w:val="left"/>
      <w:pPr>
        <w:ind w:left="2628" w:hanging="721"/>
      </w:pPr>
      <w:rPr>
        <w:rFonts w:hint="default"/>
        <w:lang w:val="en-US" w:eastAsia="en-US" w:bidi="ar-SA"/>
      </w:rPr>
    </w:lvl>
    <w:lvl w:ilvl="2">
      <w:start w:val="0"/>
      <w:numFmt w:val="bullet"/>
      <w:lvlText w:val="•"/>
      <w:lvlJc w:val="left"/>
      <w:pPr>
        <w:ind w:left="3456" w:hanging="721"/>
      </w:pPr>
      <w:rPr>
        <w:rFonts w:hint="default"/>
        <w:lang w:val="en-US" w:eastAsia="en-US" w:bidi="ar-SA"/>
      </w:rPr>
    </w:lvl>
    <w:lvl w:ilvl="3">
      <w:start w:val="0"/>
      <w:numFmt w:val="bullet"/>
      <w:lvlText w:val="•"/>
      <w:lvlJc w:val="left"/>
      <w:pPr>
        <w:ind w:left="4284" w:hanging="721"/>
      </w:pPr>
      <w:rPr>
        <w:rFonts w:hint="default"/>
        <w:lang w:val="en-US" w:eastAsia="en-US" w:bidi="ar-SA"/>
      </w:rPr>
    </w:lvl>
    <w:lvl w:ilvl="4">
      <w:start w:val="0"/>
      <w:numFmt w:val="bullet"/>
      <w:lvlText w:val="•"/>
      <w:lvlJc w:val="left"/>
      <w:pPr>
        <w:ind w:left="5112" w:hanging="721"/>
      </w:pPr>
      <w:rPr>
        <w:rFonts w:hint="default"/>
        <w:lang w:val="en-US" w:eastAsia="en-US" w:bidi="ar-SA"/>
      </w:rPr>
    </w:lvl>
    <w:lvl w:ilvl="5">
      <w:start w:val="0"/>
      <w:numFmt w:val="bullet"/>
      <w:lvlText w:val="•"/>
      <w:lvlJc w:val="left"/>
      <w:pPr>
        <w:ind w:left="5940" w:hanging="721"/>
      </w:pPr>
      <w:rPr>
        <w:rFonts w:hint="default"/>
        <w:lang w:val="en-US" w:eastAsia="en-US" w:bidi="ar-SA"/>
      </w:rPr>
    </w:lvl>
    <w:lvl w:ilvl="6">
      <w:start w:val="0"/>
      <w:numFmt w:val="bullet"/>
      <w:lvlText w:val="•"/>
      <w:lvlJc w:val="left"/>
      <w:pPr>
        <w:ind w:left="6768" w:hanging="721"/>
      </w:pPr>
      <w:rPr>
        <w:rFonts w:hint="default"/>
        <w:lang w:val="en-US" w:eastAsia="en-US" w:bidi="ar-SA"/>
      </w:rPr>
    </w:lvl>
    <w:lvl w:ilvl="7">
      <w:start w:val="0"/>
      <w:numFmt w:val="bullet"/>
      <w:lvlText w:val="•"/>
      <w:lvlJc w:val="left"/>
      <w:pPr>
        <w:ind w:left="7596" w:hanging="721"/>
      </w:pPr>
      <w:rPr>
        <w:rFonts w:hint="default"/>
        <w:lang w:val="en-US" w:eastAsia="en-US" w:bidi="ar-SA"/>
      </w:rPr>
    </w:lvl>
    <w:lvl w:ilvl="8">
      <w:start w:val="0"/>
      <w:numFmt w:val="bullet"/>
      <w:lvlText w:val="•"/>
      <w:lvlJc w:val="left"/>
      <w:pPr>
        <w:ind w:left="8424" w:hanging="721"/>
      </w:pPr>
      <w:rPr>
        <w:rFonts w:hint="default"/>
        <w:lang w:val="en-US" w:eastAsia="en-US" w:bidi="ar-SA"/>
      </w:rPr>
    </w:lvl>
  </w:abstractNum>
  <w:abstractNum w:abstractNumId="1">
    <w:multiLevelType w:val="hybridMultilevel"/>
    <w:lvl w:ilvl="0">
      <w:start w:val="1"/>
      <w:numFmt w:val="decimal"/>
      <w:lvlText w:val="%1)"/>
      <w:lvlJc w:val="left"/>
      <w:pPr>
        <w:ind w:left="1800" w:hanging="721"/>
        <w:jc w:val="left"/>
      </w:pPr>
      <w:rPr>
        <w:rFonts w:hint="default" w:ascii="Calibri" w:hAnsi="Calibri" w:eastAsia="Calibri" w:cs="Calibri"/>
        <w:b w:val="0"/>
        <w:bCs w:val="0"/>
        <w:i w:val="0"/>
        <w:iCs w:val="0"/>
        <w:spacing w:val="0"/>
        <w:w w:val="100"/>
        <w:sz w:val="22"/>
        <w:szCs w:val="22"/>
        <w:lang w:val="en-US" w:eastAsia="en-US" w:bidi="ar-SA"/>
      </w:rPr>
    </w:lvl>
    <w:lvl w:ilvl="1">
      <w:start w:val="0"/>
      <w:numFmt w:val="bullet"/>
      <w:lvlText w:val="•"/>
      <w:lvlJc w:val="left"/>
      <w:pPr>
        <w:ind w:left="2628" w:hanging="721"/>
      </w:pPr>
      <w:rPr>
        <w:rFonts w:hint="default"/>
        <w:lang w:val="en-US" w:eastAsia="en-US" w:bidi="ar-SA"/>
      </w:rPr>
    </w:lvl>
    <w:lvl w:ilvl="2">
      <w:start w:val="0"/>
      <w:numFmt w:val="bullet"/>
      <w:lvlText w:val="•"/>
      <w:lvlJc w:val="left"/>
      <w:pPr>
        <w:ind w:left="3456" w:hanging="721"/>
      </w:pPr>
      <w:rPr>
        <w:rFonts w:hint="default"/>
        <w:lang w:val="en-US" w:eastAsia="en-US" w:bidi="ar-SA"/>
      </w:rPr>
    </w:lvl>
    <w:lvl w:ilvl="3">
      <w:start w:val="0"/>
      <w:numFmt w:val="bullet"/>
      <w:lvlText w:val="•"/>
      <w:lvlJc w:val="left"/>
      <w:pPr>
        <w:ind w:left="4284" w:hanging="721"/>
      </w:pPr>
      <w:rPr>
        <w:rFonts w:hint="default"/>
        <w:lang w:val="en-US" w:eastAsia="en-US" w:bidi="ar-SA"/>
      </w:rPr>
    </w:lvl>
    <w:lvl w:ilvl="4">
      <w:start w:val="0"/>
      <w:numFmt w:val="bullet"/>
      <w:lvlText w:val="•"/>
      <w:lvlJc w:val="left"/>
      <w:pPr>
        <w:ind w:left="5112" w:hanging="721"/>
      </w:pPr>
      <w:rPr>
        <w:rFonts w:hint="default"/>
        <w:lang w:val="en-US" w:eastAsia="en-US" w:bidi="ar-SA"/>
      </w:rPr>
    </w:lvl>
    <w:lvl w:ilvl="5">
      <w:start w:val="0"/>
      <w:numFmt w:val="bullet"/>
      <w:lvlText w:val="•"/>
      <w:lvlJc w:val="left"/>
      <w:pPr>
        <w:ind w:left="5940" w:hanging="721"/>
      </w:pPr>
      <w:rPr>
        <w:rFonts w:hint="default"/>
        <w:lang w:val="en-US" w:eastAsia="en-US" w:bidi="ar-SA"/>
      </w:rPr>
    </w:lvl>
    <w:lvl w:ilvl="6">
      <w:start w:val="0"/>
      <w:numFmt w:val="bullet"/>
      <w:lvlText w:val="•"/>
      <w:lvlJc w:val="left"/>
      <w:pPr>
        <w:ind w:left="6768" w:hanging="721"/>
      </w:pPr>
      <w:rPr>
        <w:rFonts w:hint="default"/>
        <w:lang w:val="en-US" w:eastAsia="en-US" w:bidi="ar-SA"/>
      </w:rPr>
    </w:lvl>
    <w:lvl w:ilvl="7">
      <w:start w:val="0"/>
      <w:numFmt w:val="bullet"/>
      <w:lvlText w:val="•"/>
      <w:lvlJc w:val="left"/>
      <w:pPr>
        <w:ind w:left="7596" w:hanging="721"/>
      </w:pPr>
      <w:rPr>
        <w:rFonts w:hint="default"/>
        <w:lang w:val="en-US" w:eastAsia="en-US" w:bidi="ar-SA"/>
      </w:rPr>
    </w:lvl>
    <w:lvl w:ilvl="8">
      <w:start w:val="0"/>
      <w:numFmt w:val="bullet"/>
      <w:lvlText w:val="•"/>
      <w:lvlJc w:val="left"/>
      <w:pPr>
        <w:ind w:left="8424" w:hanging="721"/>
      </w:pPr>
      <w:rPr>
        <w:rFonts w:hint="default"/>
        <w:lang w:val="en-US" w:eastAsia="en-US" w:bidi="ar-SA"/>
      </w:rPr>
    </w:lvl>
  </w:abstractNum>
  <w:abstractNum w:abstractNumId="0">
    <w:multiLevelType w:val="hybridMultilevel"/>
    <w:lvl w:ilvl="0">
      <w:start w:val="1"/>
      <w:numFmt w:val="decimal"/>
      <w:lvlText w:val="%1)"/>
      <w:lvlJc w:val="left"/>
      <w:pPr>
        <w:ind w:left="1799" w:hanging="721"/>
        <w:jc w:val="left"/>
      </w:pPr>
      <w:rPr>
        <w:rFonts w:hint="default" w:ascii="Calibri" w:hAnsi="Calibri" w:eastAsia="Calibri" w:cs="Calibri"/>
        <w:b w:val="0"/>
        <w:bCs w:val="0"/>
        <w:i w:val="0"/>
        <w:iCs w:val="0"/>
        <w:spacing w:val="0"/>
        <w:w w:val="100"/>
        <w:sz w:val="22"/>
        <w:szCs w:val="22"/>
        <w:lang w:val="en-US" w:eastAsia="en-US" w:bidi="ar-SA"/>
      </w:rPr>
    </w:lvl>
    <w:lvl w:ilvl="1">
      <w:start w:val="0"/>
      <w:numFmt w:val="bullet"/>
      <w:lvlText w:val="•"/>
      <w:lvlJc w:val="left"/>
      <w:pPr>
        <w:ind w:left="2628" w:hanging="721"/>
      </w:pPr>
      <w:rPr>
        <w:rFonts w:hint="default"/>
        <w:lang w:val="en-US" w:eastAsia="en-US" w:bidi="ar-SA"/>
      </w:rPr>
    </w:lvl>
    <w:lvl w:ilvl="2">
      <w:start w:val="0"/>
      <w:numFmt w:val="bullet"/>
      <w:lvlText w:val="•"/>
      <w:lvlJc w:val="left"/>
      <w:pPr>
        <w:ind w:left="3456" w:hanging="721"/>
      </w:pPr>
      <w:rPr>
        <w:rFonts w:hint="default"/>
        <w:lang w:val="en-US" w:eastAsia="en-US" w:bidi="ar-SA"/>
      </w:rPr>
    </w:lvl>
    <w:lvl w:ilvl="3">
      <w:start w:val="0"/>
      <w:numFmt w:val="bullet"/>
      <w:lvlText w:val="•"/>
      <w:lvlJc w:val="left"/>
      <w:pPr>
        <w:ind w:left="4284" w:hanging="721"/>
      </w:pPr>
      <w:rPr>
        <w:rFonts w:hint="default"/>
        <w:lang w:val="en-US" w:eastAsia="en-US" w:bidi="ar-SA"/>
      </w:rPr>
    </w:lvl>
    <w:lvl w:ilvl="4">
      <w:start w:val="0"/>
      <w:numFmt w:val="bullet"/>
      <w:lvlText w:val="•"/>
      <w:lvlJc w:val="left"/>
      <w:pPr>
        <w:ind w:left="5112" w:hanging="721"/>
      </w:pPr>
      <w:rPr>
        <w:rFonts w:hint="default"/>
        <w:lang w:val="en-US" w:eastAsia="en-US" w:bidi="ar-SA"/>
      </w:rPr>
    </w:lvl>
    <w:lvl w:ilvl="5">
      <w:start w:val="0"/>
      <w:numFmt w:val="bullet"/>
      <w:lvlText w:val="•"/>
      <w:lvlJc w:val="left"/>
      <w:pPr>
        <w:ind w:left="5940" w:hanging="721"/>
      </w:pPr>
      <w:rPr>
        <w:rFonts w:hint="default"/>
        <w:lang w:val="en-US" w:eastAsia="en-US" w:bidi="ar-SA"/>
      </w:rPr>
    </w:lvl>
    <w:lvl w:ilvl="6">
      <w:start w:val="0"/>
      <w:numFmt w:val="bullet"/>
      <w:lvlText w:val="•"/>
      <w:lvlJc w:val="left"/>
      <w:pPr>
        <w:ind w:left="6768" w:hanging="721"/>
      </w:pPr>
      <w:rPr>
        <w:rFonts w:hint="default"/>
        <w:lang w:val="en-US" w:eastAsia="en-US" w:bidi="ar-SA"/>
      </w:rPr>
    </w:lvl>
    <w:lvl w:ilvl="7">
      <w:start w:val="0"/>
      <w:numFmt w:val="bullet"/>
      <w:lvlText w:val="•"/>
      <w:lvlJc w:val="left"/>
      <w:pPr>
        <w:ind w:left="7596" w:hanging="721"/>
      </w:pPr>
      <w:rPr>
        <w:rFonts w:hint="default"/>
        <w:lang w:val="en-US" w:eastAsia="en-US" w:bidi="ar-SA"/>
      </w:rPr>
    </w:lvl>
    <w:lvl w:ilvl="8">
      <w:start w:val="0"/>
      <w:numFmt w:val="bullet"/>
      <w:lvlText w:val="•"/>
      <w:lvlJc w:val="left"/>
      <w:pPr>
        <w:ind w:left="8424" w:hanging="721"/>
      </w:pPr>
      <w:rPr>
        <w:rFonts w:hint="default"/>
        <w:lang w:val="en-US" w:eastAsia="en-US" w:bidi="ar-SA"/>
      </w:rPr>
    </w:lvl>
  </w:abstract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Calibri" w:hAnsi="Calibri" w:eastAsia="Calibri" w:cs="Calibri"/>
      <w:lang w:val="en-US" w:eastAsia="en-US" w:bidi="ar-SA"/>
    </w:rPr>
  </w:style>
  <w:style w:styleId="BodyText" w:type="paragraph">
    <w:name w:val="Body Text"/>
    <w:basedOn w:val="Normal"/>
    <w:uiPriority w:val="1"/>
    <w:qFormat/>
    <w:pPr/>
    <w:rPr>
      <w:rFonts w:ascii="Calibri" w:hAnsi="Calibri" w:eastAsia="Calibri" w:cs="Calibri"/>
      <w:sz w:val="22"/>
      <w:szCs w:val="22"/>
      <w:lang w:val="en-US" w:eastAsia="en-US" w:bidi="ar-SA"/>
    </w:rPr>
  </w:style>
  <w:style w:styleId="ListParagraph" w:type="paragraph">
    <w:name w:val="List Paragraph"/>
    <w:basedOn w:val="Normal"/>
    <w:uiPriority w:val="1"/>
    <w:qFormat/>
    <w:pPr>
      <w:ind w:left="1799" w:hanging="721"/>
    </w:pPr>
    <w:rPr>
      <w:rFonts w:ascii="Calibri" w:hAnsi="Calibri" w:eastAsia="Calibri" w:cs="Calibri"/>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 Id="rId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Company>AIG</Company>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JPERCARP</dc:creator>
  <dc:description/>
  <dc:title>PENNSYLVANIA AMENDATORY ENDORSEMENT</dc:title>
  <dcterms:created xsi:type="dcterms:W3CDTF">2025-10-16T17:48:41Z</dcterms:created>
  <dcterms:modified xsi:type="dcterms:W3CDTF">2025-10-16T17:48:41Z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2022-04-22T00:00:00Z</vt:filetime>
  </property>
  <property fmtid="{D5CDD505-2E9C-101B-9397-08002B2CF9AE}" pid="3" name="Creator">
    <vt:lpwstr>Acrobat PDFMaker 17 for Word</vt:lpwstr>
  </property>
  <property fmtid="{D5CDD505-2E9C-101B-9397-08002B2CF9AE}" pid="4" name="LastSaved">
    <vt:filetime>2025-10-16T00:00:00Z</vt:filetime>
  </property>
  <property fmtid="{D5CDD505-2E9C-101B-9397-08002B2CF9AE}" pid="5" name="Producer">
    <vt:lpwstr>Adobe PDF Library 17.11.238</vt:lpwstr>
  </property>
  <property fmtid="{D5CDD505-2E9C-101B-9397-08002B2CF9AE}" pid="6" name="SourceModified">
    <vt:lpwstr>D:20220422175743</vt:lpwstr>
  </property>
  <property fmtid="{D5CDD505-2E9C-101B-9397-08002B2CF9AE}" pid="7" name="_AdHocReviewCycleID">
    <vt:lpwstr>-23599407</vt:lpwstr>
  </property>
  <property fmtid="{D5CDD505-2E9C-101B-9397-08002B2CF9AE}" pid="8" name="_AuthorEmail">
    <vt:lpwstr>Walter.Murphy@AIG.com</vt:lpwstr>
  </property>
  <property fmtid="{D5CDD505-2E9C-101B-9397-08002B2CF9AE}" pid="9" name="_AuthorEmailDisplayName">
    <vt:lpwstr>Murphy, Walter</vt:lpwstr>
  </property>
  <property fmtid="{D5CDD505-2E9C-101B-9397-08002B2CF9AE}" pid="10" name="_EmailSubject">
    <vt:lpwstr>Pennsylvania Cancellation/Nonrenewal - 52165 (6/07)</vt:lpwstr>
  </property>
  <property fmtid="{D5CDD505-2E9C-101B-9397-08002B2CF9AE}" pid="11" name="_PreviousAdHocReviewCycleID">
    <vt:lpwstr>-1779140804</vt:lpwstr>
  </property>
  <property fmtid="{D5CDD505-2E9C-101B-9397-08002B2CF9AE}" pid="12" name="_ReviewingToolsShownOnce">
    <vt:lpwstr/>
  </property>
</Properties>
</file>